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40"/>
        <w:gridCol w:w="40"/>
        <w:gridCol w:w="160"/>
        <w:gridCol w:w="40"/>
        <w:gridCol w:w="820"/>
        <w:gridCol w:w="20"/>
        <w:gridCol w:w="200"/>
        <w:gridCol w:w="40"/>
        <w:gridCol w:w="720"/>
        <w:gridCol w:w="280"/>
        <w:gridCol w:w="60"/>
        <w:gridCol w:w="40"/>
        <w:gridCol w:w="840"/>
        <w:gridCol w:w="80"/>
        <w:gridCol w:w="620"/>
        <w:gridCol w:w="300"/>
        <w:gridCol w:w="320"/>
        <w:gridCol w:w="340"/>
        <w:gridCol w:w="320"/>
        <w:gridCol w:w="2640"/>
        <w:gridCol w:w="880"/>
        <w:gridCol w:w="1300"/>
        <w:gridCol w:w="40"/>
        <w:gridCol w:w="40"/>
        <w:gridCol w:w="160"/>
        <w:gridCol w:w="140"/>
        <w:gridCol w:w="100"/>
        <w:gridCol w:w="240"/>
        <w:gridCol w:w="40"/>
      </w:tblGrid>
      <w:tr w:rsidR="0046271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8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36"/>
              </w:rPr>
              <w:t>SÜMEYYA TATLI HARMANCI</w:t>
            </w: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8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28"/>
              </w:rPr>
              <w:t>ÖĞRETİM GÖREVLİSİ</w:t>
            </w: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722054">
            <w:pPr>
              <w:pStyle w:val="EMPTYCELLSTYLE"/>
            </w:pPr>
            <w:r>
              <w:rPr>
                <w:noProof/>
              </w:rPr>
              <w:drawing>
                <wp:inline distT="0" distB="0" distL="0" distR="0" wp14:anchorId="30CB8D1D" wp14:editId="0BF15BF1">
                  <wp:extent cx="923925" cy="933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4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color w:val="000000"/>
              </w:rPr>
              <w:t>sumeyyatatli@karatekin.edu.tr</w:t>
            </w: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4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722054">
            <w:proofErr w:type="gramStart"/>
            <w:r>
              <w:rPr>
                <w:rFonts w:ascii="Verdana" w:eastAsia="Verdana" w:hAnsi="Verdana" w:cs="Verdana"/>
              </w:rPr>
              <w:t>03763112043</w:t>
            </w:r>
            <w:proofErr w:type="gramEnd"/>
            <w:r>
              <w:rPr>
                <w:rFonts w:ascii="Verdana" w:eastAsia="Verdana" w:hAnsi="Verdana" w:cs="Verdana"/>
              </w:rPr>
              <w:t>-4537</w:t>
            </w: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48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48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58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18"/>
              </w:rPr>
              <w:t>Çankırı Karatekin Üniversitesi Eldivan Sağlık Hizmetleri Meslek Yüksekokulu</w:t>
            </w: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58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58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  <w:bookmarkStart w:id="1" w:name="_GoBack"/>
        <w:bookmarkEnd w:id="1"/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51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Doktora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5F391F">
            <w:r>
              <w:rPr>
                <w:rFonts w:ascii="Verdana" w:eastAsia="Verdana" w:hAnsi="Verdana" w:cs="Verdana"/>
                <w:color w:val="000000"/>
              </w:rPr>
              <w:t>GAZİ ÜNİVERSİTESİ</w:t>
            </w: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16"/>
              </w:rPr>
              <w:t>EĞİTİM BİLİMLERİ ENSTİTÜSÜ/ÇOCUK GELİŞİMİ VE EĞİTİMİ (DR)</w:t>
            </w: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2016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1/2020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5F391F">
            <w:r>
              <w:rPr>
                <w:rFonts w:ascii="Verdana" w:eastAsia="Verdana" w:hAnsi="Verdana" w:cs="Verdana"/>
                <w:color w:val="000000"/>
              </w:rPr>
              <w:t>SELÇUK ÜNİVERSİTESİ</w:t>
            </w: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16"/>
              </w:rPr>
              <w:t>SOSYAL BİLİMLER ENSTİTÜSÜ/ÇOCUK GELİŞİMİ VE EV YÖNETİMİ EĞİTİMİ (YL) (TEZLİ)</w:t>
            </w: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2011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14/Temmuz/2014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16"/>
              </w:rPr>
              <w:t>Tez adı: Okul öncesi eğitim kurumlarına devam eden çocukların anne-babalarıyla ve öğretmenleriyle olan ilişkilerinin sosyal beceri düzeylerine etkisi (2014) Tez Danışmanı:(DEVLET ALAKOÇ PİRPİR)</w:t>
            </w: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5F391F">
            <w:r>
              <w:rPr>
                <w:rFonts w:ascii="Verdana" w:eastAsia="Verdana" w:hAnsi="Verdana" w:cs="Verdana"/>
                <w:color w:val="000000"/>
              </w:rPr>
              <w:t>SELÇUK ÜNİVERSİTESİ</w:t>
            </w: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16"/>
              </w:rPr>
              <w:t>AHMET KELEŞOĞLU EĞİTİM FAKÜLTESİ/OKUL ÖNCESİ ÖĞRETMENLİĞİ PR.</w:t>
            </w: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2005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12/Haziran/2009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76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3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ÖĞRETİM GÖREVLİSİ</w:t>
            </w:r>
          </w:p>
        </w:tc>
        <w:tc>
          <w:tcPr>
            <w:tcW w:w="77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18"/>
              </w:rPr>
              <w:t>ÇANKIRI KARATEKİN ÜNİVERSİTESİ/ELDİVAN SAĞLIK HİZMETLERİ MESLEK YÜKSEKOKULU/ÇOCUK BAKIMI VE GENÇLİK HİZMETLERİ BÖLÜMÜ/ÇOCUK GELİŞİMİ PR.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2017 </w:t>
            </w:r>
          </w:p>
        </w:tc>
        <w:tc>
          <w:tcPr>
            <w:tcW w:w="77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0" w:type="dxa"/>
            <w:gridSpan w:val="2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ÖĞRETİM GÖREVLİSİ</w:t>
            </w:r>
          </w:p>
        </w:tc>
        <w:tc>
          <w:tcPr>
            <w:tcW w:w="772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18"/>
              </w:rPr>
              <w:t>KİLİS 7 ARALIK ÜNİVERSİTESİ/SAĞLIK HİZMETLERİ MESLEK YÜKSEKOKULU/ÇOCUK BAKIMI VE GENÇLİK HİZMETLERİ BÖLÜMÜ/ÇOCUK GELİŞİMİ PR.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2014-2017</w:t>
            </w:r>
          </w:p>
        </w:tc>
        <w:tc>
          <w:tcPr>
            <w:tcW w:w="772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1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Okulöncesi Eğitim Kurumlarına Devam Eden Çocukların Ailelerinin Çocukluk Çağı Aşıları Hakkındaki Görüşleri Kilis İli Örneği, Yükseköğretim Kurumları tarafından destekli bilimsel araştırma projesi, Araştırmacı, ,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16/05/2016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- 16/11/2016 (ULUSAL) </w:t>
            </w: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1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1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16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BENİM ADIM ÖZGECİLİK, Yükseköğretim Kurumları tarafından destekli bilimsel araştırma projesi,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Yürütücü:POLAT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YADİGAR,Araştırmacı:TATLI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SÜMEYYA,Araştırmacı:YAVUZEKİNCİ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MUSTAFA, , 22/05/2018 - 10/09/2019 (ULUSAL) </w:t>
            </w: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1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16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3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20" w:type="dxa"/>
            <w:gridSpan w:val="4"/>
          </w:tcPr>
          <w:p w:rsidR="00462711" w:rsidRDefault="0046271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6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6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8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YAVUZEKİNCİ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HARMANCI SÜMEYYA (2020).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ÇOCUKLARIN SAHİP OLDUKLARI HAKLARA İLİŞKİN ÖĞRETMEN GÖRÜŞLERİNİN İNCELENMESİ.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Milli Eğitim, 49(228), 129-152. (Yayın No: 6594402)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AKSOY AYŞE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BELGİN,TATLI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 (2019).  Okul Öncesi Dönem Çocuğu Olan Babaların Çocuklarıyla Olan İlişkileri ile Babalık Rolü Algıları Arasındaki İlişkinin Bazı Değişkenler Açısından İncelenmesi.  Çankırı Karatekin Üniversitesi Sosyal Bilimler Enstitüsü D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ergisi (Yayın No: 5096211)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TATLI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SÜMEYYA,AVCI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NESLİHAN (2019).  YENİ YAŞANTILARIN GÖLGESİNDEN ÇOCUKLUĞA BAKIŞ.  Uluslararası Sosyal Araştırmalar Dergisi (Yayın No: 4990584)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GÜNGÖR AYTAR FATMA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ABİDE,TATLI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 (2018).  BİREYLERİN AHLAKİ OLGUNLUK VE BAĞIŞLAMA İSTEKLİLİĞİNİN KİŞİLİK ÖZELLİKLERİ İLE İLİŞKİSİNİN İNCELENMESİ.  Dumlupınar Üniversitesi Sosyal Bilimler Dergisi (Yayın No: 4694201)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TATLI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SÜMEYYA,GÜNGÖR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AYTAR FATMA ABİDE (2017).  OKUL ÖNCESİ DÖNEM ÇOCUKLARININ DEĞERLERE İLİŞKİN ALGILARI VE BUNLARI İFADE ETME BİÇİMLERİNİN İNCELENMESİ.  Türkiye Sosyal Araştırmalar Dergisi (Yayın No: 3645414)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YAVUZEKİNCİ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 (2015).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Çocuk Gelişimi Programı ve Okul Öncesi Öğretmenliği Bölümü Öğrencilerinin Öğretmenlik Mesleğine İlişkin Tutum ve Yeterlilik Düzeylerinin Karşılaştırılması.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Sosyal Bilimler Dergisi(5), 327-338. (Yayın No: 3921095)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TATLI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SÜMEYYA,ALAKOÇ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PİRPİR DEVLET (2015).  OKUL ÖNCESİ EĞİTİM KURUMLARINA DEVAM EDEN ÇOCUKLARIN ÖĞRETMENLERİYLE OLAN İLİŞKİLERİNİN SOSYAL BECERİ DÜZEYLERİNE ETKİSİNİN İNCELENMESİ.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1(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31), 429-429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oi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: 10.9761/JASSS2646 (Yayın No: 1373566)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TATLI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SÜMEYYA,ÖZCAN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İSMAİL (2019).  Türkiye’de Dijital Oyun Araştırmalarında Neredeyiz?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Bir Meta-Sentez Çalışması.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I. International Game Conference (Tam Metin Bildiri/Sözlü Sunum)(Yayın No:5702848)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ÖZCAN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İSMAİL,TATLI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 (2019).  ÖZEL GEREKSİNİMLİ BİREYLERLE ETKİLEŞİMLİ UYGULAMALARA DAYALI ÖZEL EĞİTİM DERSİALAN ÇOCUK GELİŞİMİ PROGRAMI ÖĞRENCİLERİNİN KAYNAŞTIRMAYA İLİŞKİN GÖRÜŞLERİNİNİNCELENMESİ.  2. Uluslararası Temel Eğitim Kongresi (Tam Metin B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ildiri/Sözlü Sunum)(Yayın No:5702965)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TATLI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SÜMEYYA,YAVUZEKİNCİ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 (2017).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Çocukların Sahip Oldukları Haklara İlişkin Öğretmen Görüşlerinin İncelenmesi.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5. Uluslararası Okul Öncesi Eğitim Kongresi (Özet Bildiri/Sözlü Sunum)(Yayın No:3773338)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TATLI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SÜMEYYA,YAVUZEKİNCİ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MUSTAFA,POLAT YADİGAR (2017).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Topluma Hizmet Etkinliklerine Katılımın Bireylerin Özgecilik Durumlarına Etkisinin İncelenmesi.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II. INTERNATIONAL CONFERENCE THE WEST OF THE EAST, THE EAST OF THE WEST (Tam Metin Bildiri/Sözlü Sunum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)(Yayın No:3772102)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4.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GÜNGÖR AYTAR FATMA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ABİDE,TATLI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 (2017).  BİREYLERİN AHLAKİ OLGUNLUK VE BAĞIŞLAMA İSTEKLİLİĞİNİN KİŞİLİK ÖZELLİKLERİ İLE İLİŞKİSİNİN BELİRLENMESİ.  IX.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(Özet Bildiri/Sözlü Sunum)(Yayın No:3771793)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5.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KARAMAN NAŞİDE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NUR,TATLI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SÜMEYYA,YAVUZEKİNCİ MUSTAFA (2017).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Empatik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Eğilim ve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Prosoyal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Davranışlar Üzerinde İletişim Derslerinin Etkisinin İncelenmesi.  IX.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(Özet Bildiri/Sözlü Sunum)(Yayın No:4028958)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6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AVCI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NESLİHAN,TATLI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 (2017).  MEB 0-36 VE 36-72 AYLIK ÇOCUKLAR İÇİN OKUL ÖNCESİ EĞİTİM PROGRAMLARINDAKİ KAZANIM VE GÖSTERGELERİN DAVRANIŞSAL ÖZ DÜZENLEME AÇISINDAN İNCELENMESİ.  IX. International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Congress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(Tam Metin Bildiri/S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özlü Sunum)(Yayın No:3771933)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7.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YAVUZEKİNCİ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MUSTAFA,TATLI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 (2016).  EXAMINATION OF THE ATTITUDES OF THE STUDENTS STUDYING IN EARLY CHILDHOOD EDUCATION DEPARTMENT AND CHILD DEVELOPMENT DEPARTMENT RELATED TO INCLUSION IN EARLY CHILDHOOD.  14th INTERNATIONAL JTEFS/BBCC CONFERENCE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ab/>
              <w:t>SUS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TAINABLE DEVELOPMENT, CULTURE, EDUCATION (Özet Bildiri/Sözlü Sunum)(Yayın No:3184161)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8.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TATLI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SÜMEYYA,YAVUZEKİNCİ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MUSTAFA (2016).  EXAMINATION OF CRITICAL THINKING ABILITY OF EARL CHILDHOOD EDUCATION DEPARTMENT S STUDENTS AND CHILD DEVELOPMENT DEPARTMENT S STUDENTS IN TERMS OF DIFFERENT VARIABLE.  14th INTERNATIONAL JTEFS/BBCC CONFERENCE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ab/>
              <w:t>SUST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AINABLE DEVELOPMENT, CULTURE, EDUCATION. (/Sözlü Sunum)(Yayın No:3184097)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9.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YILDIZ ÇİÇEKLER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CANAN,TATLI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 (2015).  An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Investigation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Receptive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Expressive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Language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Levels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Twins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Singletons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between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48 66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Months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VI.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Conference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Behavioral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5-7 Şubat 2015, Selçuk/İZMİR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(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Tam </w:t>
            </w: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10.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</w:tcPr>
          <w:p w:rsidR="00462711" w:rsidRDefault="00462711">
            <w:pPr>
              <w:pStyle w:val="EMPTYCELLSTYLE"/>
            </w:pPr>
          </w:p>
        </w:tc>
        <w:tc>
          <w:tcPr>
            <w:tcW w:w="7660" w:type="dxa"/>
            <w:gridSpan w:val="16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Metin Bildiri/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)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(Yayın No:1373584)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ALAKOÇ PİRPİR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DEVLET,YILDIZ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ÇİÇEKLER CANAN,TATLI SÜMEYYA (2015).  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Attitudes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Mothers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with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Twins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Singletons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Terms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Some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Variables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.  VI.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Conference On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Behavioral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, 5-7 Şubat 2015, Selçuk/İZMİR (Özet Bildi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ri/)(Yayın No:1373580)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11.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TATLI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SÜMEYYA,ALAKOÇ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PİRPİR DEVLET (2014).  Okul Öncesi Eğitim Kurumlarına Devam Eden Çocukların Öğretmenleriyle Olan İlişkilerinin Sosyal Beceri Düzeylerine Etkisinin İncelenmesi.  Uluslararası Okul Öncesi Eğitimi Kongresi (Özet Bildiri/Sözlü Sunum)(Yayın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No:1323121)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12.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102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8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Felsefi ve Toplumsal Eksende Akademik Diyalektik, Bölüm adı:(ÇOCUK RESİMLERİNDE ETİK) (2019)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TATLI SÜMEYYA,  SRA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Publishing, Basım sayısı:1, ISBN:978-605-80062-4-9, Türkçe(Bilimsel Kitap), (Yayın No: 5765890)</w:t>
            </w: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8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8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8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Felsefi ve Toplumsal Eksende Akademik Diyalektik, Bölüm adı:(DÜŞÜNCE DİLİ Mİ, DİL DÜŞÜNCEYİ Mİ GELİŞTİRİR?) (2019)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TATLI SÜMEYYA,  SRA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Publishing,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Editör:N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Tüfekçi, Basım sayısı:1, ISBN:978-605-80062-4-9, Türkçe(Bilimsel Kitap), (Yayın No: 5765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483)</w:t>
            </w: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2.</w:t>
            </w:r>
          </w:p>
        </w:tc>
        <w:tc>
          <w:tcPr>
            <w:tcW w:w="8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8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POLAT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YADİGAR,TATLI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SÜMEYYA,YAVUZEKİNCİ MUSTAFA,ÖZTÜRK MELEK,İPEKÇİ NURİYE NESRİN,YURDAGÜL GÜLİSTAN,SÜZÜLMÜŞ SEVAL (2017).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Okul Öncesi Eğitime Devam Eden Çocukların Ailelerinin Çocukluk Çağı Aşıları Hakkındaki Görüşleri.  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Gümüşhane Üniversitesi Sağlık Bil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imleri Dergisi, 6(4), 131-137. (Kontrol No: 3771162)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KARAMAN NAŞİDE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NUR,TATLI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SÜMEYYA,YAVUZEKİNCİ MUSTAFA (2017).  İLETİŞİM DERSLERİNİN EMPATİK EĞİLİM VE PROSOSYAL DAVRANIŞLAR ÜZERİNE ETKİSİNİN İNCELENMESİ.  Erzincan Üniversitesi Sosyal Bilimler Enstitüsü Dergisi (ERZSOSDE), 10(2), 91-104. (Kontrol No: 37605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59)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POLAT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YADİGAR,İPEKÇİ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NURİYE NESRİN,YURDAGÜL GÜLİSTAN,ÖZTÜRK MELEK,TATLI SÜMEYYA,YAVUZEKİNCİ MUSTAFA (2016).  SAĞLIK HİZMETLERİ MESLEK YÜKSEKOKULU ÖĞRENCİLERİNDE FLÖRT ŞİDDETİ PREVELANSININ BELİRLENMESİ.  Çukurova Üniversitesi Sosyal Bilimler Enstitüsü Derg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isi, 25(3) (Kontrol No: 3183512)</w:t>
            </w: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900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39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2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18"/>
              </w:rPr>
              <w:t>2009-2014</w:t>
            </w:r>
          </w:p>
        </w:tc>
        <w:tc>
          <w:tcPr>
            <w:tcW w:w="2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Öğretmen</w:t>
            </w: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2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462711">
            <w:pPr>
              <w:pStyle w:val="EMPTYCELLSTYLE"/>
            </w:pPr>
          </w:p>
        </w:tc>
        <w:tc>
          <w:tcPr>
            <w:tcW w:w="7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711" w:rsidRDefault="005F391F">
            <w:r>
              <w:rPr>
                <w:rFonts w:ascii="Verdana" w:eastAsia="Verdana" w:hAnsi="Verdana" w:cs="Verdana"/>
                <w:color w:val="000000"/>
                <w:sz w:val="18"/>
              </w:rPr>
              <w:t>MİLLİ EĞİTİM BAKANLIĞI, Okul Öncesi Öğretmenliği, (Kamu)</w:t>
            </w: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64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10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4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  <w:tr w:rsidR="0046271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8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62711" w:rsidRDefault="00462711">
            <w:pPr>
              <w:pStyle w:val="EMPTYCELLSTYLE"/>
            </w:pPr>
          </w:p>
        </w:tc>
        <w:tc>
          <w:tcPr>
            <w:tcW w:w="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620" w:type="dxa"/>
          </w:tcPr>
          <w:p w:rsidR="00462711" w:rsidRDefault="00462711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462711" w:rsidRDefault="00462711">
            <w:pPr>
              <w:pStyle w:val="EMPTYCELLSTYLE"/>
            </w:pPr>
          </w:p>
        </w:tc>
        <w:tc>
          <w:tcPr>
            <w:tcW w:w="2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711" w:rsidRDefault="005F391F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" w:type="dxa"/>
          </w:tcPr>
          <w:p w:rsidR="00462711" w:rsidRDefault="00462711">
            <w:pPr>
              <w:pStyle w:val="EMPTYCELLSTYLE"/>
            </w:pPr>
          </w:p>
        </w:tc>
      </w:tr>
    </w:tbl>
    <w:p w:rsidR="005F391F" w:rsidRDefault="005F391F"/>
    <w:sectPr w:rsidR="005F391F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11"/>
    <w:rsid w:val="00462711"/>
    <w:rsid w:val="005F391F"/>
    <w:rsid w:val="007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0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0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</cp:lastModifiedBy>
  <cp:revision>2</cp:revision>
  <dcterms:created xsi:type="dcterms:W3CDTF">2021-08-16T09:43:00Z</dcterms:created>
  <dcterms:modified xsi:type="dcterms:W3CDTF">2021-08-16T09:43:00Z</dcterms:modified>
</cp:coreProperties>
</file>